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Hlt450039480"/>
      <w:bookmarkEnd w:id="0"/>
      <w:bookmarkStart w:id="1" w:name="_Hlt448930105"/>
      <w:bookmarkEnd w:id="1"/>
      <w:bookmarkStart w:id="2" w:name="_Hlt450066087"/>
      <w:bookmarkEnd w:id="2"/>
      <w:bookmarkStart w:id="3" w:name="_Hlt449016246"/>
      <w:bookmarkEnd w:id="3"/>
      <w:bookmarkStart w:id="4" w:name="_Hlt450051172"/>
      <w:bookmarkEnd w:id="4"/>
      <w:bookmarkStart w:id="5" w:name="_Hlt450066085"/>
      <w:bookmarkEnd w:id="5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418359</w:t>
      </w:r>
      <w:bookmarkStart w:id="21" w:name="_GoBack"/>
      <w:bookmarkEnd w:id="21"/>
    </w:p>
    <w:p>
      <w:pPr>
        <w:pStyle w:val="17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14"/>
      <w:bookmarkStart w:id="7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 xml:space="preserve">iscussion on </w:t>
      </w:r>
      <w:bookmarkEnd w:id="6"/>
      <w:bookmarkEnd w:id="7"/>
      <w:r>
        <w:rPr>
          <w:rStyle w:val="60"/>
          <w:rFonts w:hint="eastAsia"/>
          <w:b/>
          <w:highlight w:val="none"/>
          <w:lang w:val="en-US" w:eastAsia="zh-CN"/>
        </w:rPr>
        <w:t>MPR applicability for FR1 intra-band UL CA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7.1.1.2.2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default"/>
          <w:i w:val="0"/>
          <w:iCs w:val="0"/>
          <w:sz w:val="20"/>
          <w:szCs w:val="20"/>
          <w:lang w:val="en-US" w:eastAsia="zh-CN"/>
        </w:rPr>
        <w:t>In RAN#102 meeting, a new Work Item [1] was approved on UE RF enhancements for NR FR1/FR2 and EN-DC, Phase 4, one of the objectives is about power boosting and/or MPR reduction as follows. In this contribution, we want to share some further views on MPR applicability for FR1 intra-band UL CA.</w:t>
      </w:r>
    </w:p>
    <w:tbl>
      <w:tblPr>
        <w:tblStyle w:val="24"/>
        <w:tblW w:w="0" w:type="auto"/>
        <w:tblInd w:w="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4" w:type="dxa"/>
          </w:tcPr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Specify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power domain enhancement, e.g., MPR reduction for NR single carrier and NR intra-band UL CA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Study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scenarios,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if feasible,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sp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ecify the power domain enhancement, e.g., MPR reduction, for PC2 and PC3 with applicable ACLR/SEM/spurious emission modification with BS indication for NR FR1 on a single UL carrier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Include t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he </w:t>
            </w:r>
            <w:bookmarkStart w:id="8" w:name="OLE_LINK6"/>
            <w:r>
              <w:rPr>
                <w:rFonts w:hint="eastAsia" w:ascii="Times New Roman" w:hAnsi="Times New Roman" w:cs="Times New Roman"/>
                <w:sz w:val="20"/>
                <w:szCs w:val="20"/>
              </w:rPr>
              <w:t>following scenarios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>
            <w:pPr>
              <w:pStyle w:val="34"/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when there is no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adjacent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in-band/out-of-band co-existence issue</w:t>
            </w:r>
          </w:p>
          <w:p>
            <w:pPr>
              <w:pStyle w:val="34"/>
              <w:numPr>
                <w:ilvl w:val="3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when a UE uses a narrower channel bandwidth within a wider BS bandwidth</w:t>
            </w:r>
          </w:p>
          <w:bookmarkEnd w:id="8"/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Include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oth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(e)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RedCap 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(only PC3)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and non-RedCap UE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Limited to QSPK and 16QAM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Specify </w:t>
            </w:r>
            <w:bookmarkStart w:id="9" w:name="OLE_LINK11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MPR applicability based on the UL CCs with activated cells </w:t>
            </w:r>
            <w:bookmarkEnd w:id="9"/>
            <w:r>
              <w:rPr>
                <w:rFonts w:ascii="Times New Roman" w:hAnsi="Times New Roman" w:cs="Times New Roman"/>
                <w:sz w:val="20"/>
                <w:szCs w:val="20"/>
              </w:rPr>
              <w:t>for NR intra-band UL CA configuration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Include both intra-band UL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contiguous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CA and intra-band non-contiguous UL CA for FR1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Include intra-band UL contiguous CA and intra-band DL contiguous CA with single UL for FR2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MPR requirement is not applicable until the </w:t>
            </w:r>
            <w:bookmarkStart w:id="10" w:name="OLE_LINK13"/>
            <w:r>
              <w:rPr>
                <w:rFonts w:ascii="Times New Roman" w:hAnsi="Times New Roman" w:cs="Times New Roman"/>
                <w:sz w:val="20"/>
                <w:szCs w:val="20"/>
              </w:rPr>
              <w:t>SCell is activated</w:t>
            </w:r>
            <w:bookmarkEnd w:id="10"/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Necessary signaling to support the above objectives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b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/>
          <w:lang w:val="en-US" w:eastAsia="zh-CN"/>
        </w:rPr>
        <w:t>2.1 Intra-band contiguous CA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60"/>
              <w:ind w:leftChars="0" w:right="0" w:rightChars="0"/>
              <w:textAlignment w:val="baseline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color w:val="000000" w:themeColor="text1"/>
                <w:sz w:val="20"/>
                <w:szCs w:val="20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ssue 2-1-2: Single CC CBW or aggregated CBW for applying requirements of ACLR/SEM/SE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720" w:firstLineChars="0"/>
              <w:textAlignment w:val="auto"/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Proposals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Proposal 1: activated CC CBW or aggregated CBW adopted for integral region and boundary of spurious emissions/ACLR/SEM depending on </w:t>
            </w:r>
            <w:r>
              <w:rPr>
                <w:rFonts w:eastAsia="宋体"/>
                <w:i/>
                <w:i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dualPA-Architecture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IE indication.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Proposal 2: Emission requirements are based on aggregated channel bandwidth also in case that only one CC is activated.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WF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FFS in next meeting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/>
              <w:textAlignment w:val="baseline"/>
              <w:rPr>
                <w:i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60"/>
              <w:ind w:leftChars="0" w:right="0" w:rightChars="0"/>
              <w:textAlignment w:val="baseline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Issue 2-1-3: Single CC or CA requirements of ACLR/SEM/SE applied for single activated cell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720" w:firstLineChars="0"/>
              <w:textAlignment w:val="auto"/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Proposals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Proposal 1: CA requirements of ACLR/SEM/SE should be applied for intra-band contiguous CA with single activated cell.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Proposal 2: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2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2376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For UE supporting contiguous ULCA with the dualPA IE: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3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3096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The applicable SEM, ACLR and spurious emissions are the </w:t>
            </w:r>
            <w:r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single CC emissions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defined in Table 6.5.2.2-1, Table 6.5.2.4.1-1 and Table 6.5.3.1-2 respectively.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2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2376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For UE supporting contiguous ULCA without signalling the dualPA IE or signalling PC1.5 or TxD or UL MIMO support: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3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3096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The applicable SEM, ACLR and spurious emissions are the </w:t>
            </w:r>
            <w:r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configured contiguous ULCA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Proposal 1: After the initial configuration of contiguous ULCA, upon SCELL deactivation with only 1CC active, the applied SEM mask should be the aggregated CA BW SEM as stated in sub-clause 6.5A.2.2.1 in TS38.101-1. </w:t>
            </w:r>
            <w:r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Further discuss SEM mask for single CC fall back only if dualPA-architecture is supported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Proposal 3: Apply single carrier spurious emission/ACLR/SEM requirements for contiguous UL CA with only 1 CC transmitted.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WF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FFS in next meeting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default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The key of the above issues is whether to distinguish integral region, applying boundary of ACLR/SEM and applicable SEM/ACLR/SE requirements depending on the indication of </w:t>
      </w:r>
      <w:r>
        <w:rPr>
          <w:rFonts w:hint="eastAsia"/>
          <w:i/>
          <w:iCs/>
          <w:sz w:val="20"/>
          <w:szCs w:val="20"/>
          <w:lang w:val="en-US" w:eastAsia="zh-CN"/>
        </w:rPr>
        <w:t>dualPA-Architecture</w:t>
      </w:r>
      <w:r>
        <w:rPr>
          <w:rFonts w:hint="eastAsia"/>
          <w:sz w:val="20"/>
          <w:szCs w:val="20"/>
          <w:lang w:val="en-US" w:eastAsia="zh-CN"/>
        </w:rPr>
        <w:t>. Based on the observation in [2], for a single LO frequency intra-band ULCA implementation when single CC is activated, any RB allocation &lt; 6.48 MHz bandwidth fails the -13dBm/MHz SEM limit when the single carrier SEM requirement is used, but using the configured contiguous ULCA SEM works. For intra-band ULCA implemented with two LO (</w:t>
      </w:r>
      <w:r>
        <w:rPr>
          <w:rFonts w:hint="eastAsia"/>
          <w:i/>
          <w:iCs/>
          <w:sz w:val="20"/>
          <w:szCs w:val="20"/>
          <w:lang w:val="en-US" w:eastAsia="zh-CN"/>
        </w:rPr>
        <w:t>dualPA-Architecture</w:t>
      </w:r>
      <w:r>
        <w:rPr>
          <w:rFonts w:hint="eastAsia"/>
          <w:sz w:val="20"/>
          <w:szCs w:val="20"/>
          <w:lang w:val="en-US" w:eastAsia="zh-CN"/>
        </w:rPr>
        <w:t xml:space="preserve"> indication), SEM/ACLR/SE requirements of single carrier can be applied when single carrier MPR is used.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Thus, for intra-band contiguous CA with single activated cell, it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 xml:space="preserve">s no controversy to apply SEM/ACLR/SE requirements of configured contiguous ULCA, and integral region, applying boundary are based on </w:t>
      </w:r>
      <w:r>
        <w:rPr>
          <w:rFonts w:eastAsia="宋体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aggregated CBW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when </w:t>
      </w:r>
      <w:r>
        <w:rPr>
          <w:rFonts w:hint="eastAsia"/>
          <w:i/>
          <w:iCs/>
          <w:sz w:val="20"/>
          <w:szCs w:val="20"/>
          <w:lang w:val="en-US" w:eastAsia="zh-CN"/>
        </w:rPr>
        <w:t>dualPA-Architecture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is indicated. Furthermore, if </w:t>
      </w:r>
      <w:r>
        <w:rPr>
          <w:rFonts w:hint="eastAsia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dualPA-Architecture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is not indicated, there is also no need to use </w:t>
      </w:r>
      <w:r>
        <w:rPr>
          <w:rFonts w:hint="eastAsia"/>
          <w:sz w:val="20"/>
          <w:szCs w:val="20"/>
          <w:lang w:val="en-US" w:eastAsia="zh-CN"/>
        </w:rPr>
        <w:t>SEM/ACLR/SE requirements of single carrier. As stated in [3], for intra-band contiguous CA with single activated cell, IBE requirement defined in Table 6.4A.2.1.2-1 and 6.4A.2.1.2-2 is applied. According to the definition of IBE for intra-band contiguous CA, it is the interference falling into the non-allocated resource blocks for all component carriers. If SEM/ACLR/SE requirements of single carrier are applied, the applicable range will overlap with IBE applying range.</w:t>
      </w:r>
      <w:r>
        <w:rPr>
          <w:rFonts w:hint="eastAsia"/>
          <w:lang w:val="en-US" w:eastAsia="zh-CN"/>
        </w:rPr>
        <w:t xml:space="preserve"> For intra-band contiguous CA with single activated cell, 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if </w:t>
      </w:r>
      <w:r>
        <w:rPr>
          <w:rFonts w:hint="eastAsia"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dualPA-Architecture</w:t>
      </w:r>
      <w:r>
        <w:rPr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is not indicated, SEM/ACLR/SE requirements of configured contiguous ULCA should be applied, and integral region, applying boundary are based on aggregated CBW.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For intra-band contiguous CA with single activated CC, no matter whether</w:t>
      </w:r>
      <w:r>
        <w:rPr>
          <w:rFonts w:hint="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dualPA-Architecture</w:t>
      </w:r>
      <w:r>
        <w:rPr>
          <w:rFonts w:hint="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is indicated, SEM/ACLR/SE requirements of configured contiguous ULCA should be applied. The integral region and applying boundary are based on aggregated CBW.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2.1 Intra-band non-contiguous CA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60"/>
              <w:ind w:leftChars="0" w:right="0" w:rightChars="0"/>
              <w:textAlignment w:val="baseline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Issue 2-2-1: Applicable MPR for FR1 intra-band non-contiguous UL CA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after="0"/>
              <w:ind w:left="714" w:hanging="357" w:firstLineChars="0"/>
              <w:textAlignment w:val="auto"/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Proposals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after="120" w:afterLines="50"/>
              <w:ind w:left="357" w:firstLine="0" w:firstLineChars="0"/>
              <w:textAlignment w:val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eastAsiaTheme="min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ption 1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: No spec impact </w:t>
            </w:r>
            <w:r>
              <w:rPr>
                <w:rFonts w:hint="eastAsia"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r minimum spec impact with some clarification but no changes of requirements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Proposal 1: for PC3 and PC2 intra-band non-contiguous CA as the standard already accounts for the use of the single CC MPR tables when only 1 CC is scheduled </w:t>
            </w:r>
            <w:r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no further changes to the standard are required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roposal 2: </w:t>
            </w:r>
            <w:r>
              <w:rPr>
                <w:rFonts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adding 1CC activation as a supplementary scenario in the spec but no changes of the requirements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Proposal 3: </w:t>
            </w:r>
            <w:r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single CC MPR applied with single CC emission requirements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after="120" w:afterLines="50"/>
              <w:ind w:left="357" w:firstLine="0" w:firstLineChars="0"/>
              <w:textAlignment w:val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eastAsiaTheme="min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ption 2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: Si</w:t>
            </w:r>
            <w:r>
              <w:rPr>
                <w:rFonts w:hint="eastAsia"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ngle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CC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MPR/SEM applied on indication of dualPA IE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roposal 4: To apply </w:t>
            </w:r>
            <w:r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non-CA (single CC) MPR based on indication of dualPA IE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roposal 5: After the initial configuration of non-contiguous ULCA, upon SCELL deactivation with only 1CC active, </w:t>
            </w:r>
            <w:r>
              <w:rPr>
                <w:rFonts w:eastAsia="宋体"/>
                <w:b/>
                <w:bCs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the applied SEM mask should be the composite SEM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of the 2CCs as stated in sub-clause 6.5A.2.2.2 in TS38.101-1. Further discuss to support the single CC SEM only if dualPA-architecture is supported.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50" w:after="120" w:afterLines="50"/>
              <w:ind w:left="357" w:firstLine="0" w:firstLineChars="0"/>
              <w:textAlignment w:val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eastAsiaTheme="min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ption 3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: Possible spec impact on LO retuning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jc w:val="both"/>
              <w:textAlignment w:val="auto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Proposal 6: Discuss impact on requirements if LO needs to be re-configured to support single CC MPR. This discussion would be required for intra-band contiguous and non-contiguous carrier aggregation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/>
              <w:jc w:val="both"/>
              <w:textAlignment w:val="baseline"/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WF 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FFS on whether for PC2 and PC3, no MPR requirements to be changed</w:t>
            </w:r>
            <w:r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FFS PC1.5 when NC CA requirements are available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FS clarification for the applicable emission requirements whether they are single CC based or composite based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720" w:firstLine="0" w:firstLineChars="0"/>
              <w:textAlignment w:val="auto"/>
              <w:rPr>
                <w:rFonts w:hint="eastAsia"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rPr>
                <w:rFonts w:eastAsia="宋体"/>
                <w:color w:val="000000" w:themeColor="text1"/>
                <w:sz w:val="20"/>
                <w:szCs w:val="20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  <w:t>Agreement in main session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1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1440"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Drop the discussion for LO retuning since it is out of WI scope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2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eastAsia="宋体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FS for FR2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default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For PC3 and PC2 intra-band non-contiguous CA, the standard has already specified that for </w:t>
      </w:r>
      <w:r>
        <w:rPr>
          <w:rFonts w:eastAsia="Yu Mincho"/>
          <w:sz w:val="20"/>
          <w:szCs w:val="18"/>
          <w:lang w:val="en-US"/>
        </w:rPr>
        <w:t>OR (</w:t>
      </w:r>
      <w:r>
        <w:rPr>
          <w:sz w:val="20"/>
          <w:szCs w:val="18"/>
        </w:rPr>
        <w:t>L</w:t>
      </w:r>
      <w:r>
        <w:rPr>
          <w:sz w:val="20"/>
          <w:szCs w:val="18"/>
          <w:vertAlign w:val="subscript"/>
        </w:rPr>
        <w:t xml:space="preserve">CRB1 </w:t>
      </w:r>
      <w:r>
        <w:rPr>
          <w:rFonts w:eastAsia="Yu Mincho"/>
          <w:sz w:val="20"/>
          <w:szCs w:val="18"/>
          <w:lang w:val="en-US"/>
        </w:rPr>
        <w:t xml:space="preserve">= 0, </w:t>
      </w:r>
      <w:r>
        <w:rPr>
          <w:sz w:val="20"/>
          <w:szCs w:val="18"/>
        </w:rPr>
        <w:t>L</w:t>
      </w:r>
      <w:r>
        <w:rPr>
          <w:sz w:val="20"/>
          <w:szCs w:val="18"/>
          <w:vertAlign w:val="subscript"/>
        </w:rPr>
        <w:t xml:space="preserve">CRB2 </w:t>
      </w:r>
      <w:r>
        <w:rPr>
          <w:rFonts w:eastAsia="Yu Mincho"/>
          <w:sz w:val="20"/>
          <w:szCs w:val="18"/>
          <w:lang w:val="en-US"/>
        </w:rPr>
        <w:t>= 0)</w:t>
      </w:r>
      <w:r>
        <w:rPr>
          <w:rFonts w:hint="eastAsia" w:eastAsia="宋体"/>
          <w:sz w:val="20"/>
          <w:szCs w:val="18"/>
          <w:lang w:val="en-US" w:eastAsia="zh-CN"/>
        </w:rPr>
        <w:t xml:space="preserve"> case, the corresponding single carrier MPR can be applied. From our understanding, </w:t>
      </w:r>
      <w:r>
        <w:rPr>
          <w:rFonts w:eastAsia="Yu Mincho"/>
          <w:sz w:val="20"/>
          <w:szCs w:val="18"/>
          <w:lang w:val="en-US"/>
        </w:rPr>
        <w:t>OR (</w:t>
      </w:r>
      <w:r>
        <w:rPr>
          <w:sz w:val="20"/>
          <w:szCs w:val="18"/>
        </w:rPr>
        <w:t>L</w:t>
      </w:r>
      <w:r>
        <w:rPr>
          <w:sz w:val="20"/>
          <w:szCs w:val="18"/>
          <w:vertAlign w:val="subscript"/>
        </w:rPr>
        <w:t xml:space="preserve">CRB1 </w:t>
      </w:r>
      <w:r>
        <w:rPr>
          <w:rFonts w:eastAsia="Yu Mincho"/>
          <w:sz w:val="20"/>
          <w:szCs w:val="18"/>
          <w:lang w:val="en-US"/>
        </w:rPr>
        <w:t xml:space="preserve">= 0, </w:t>
      </w:r>
      <w:r>
        <w:rPr>
          <w:sz w:val="20"/>
          <w:szCs w:val="18"/>
        </w:rPr>
        <w:t>L</w:t>
      </w:r>
      <w:r>
        <w:rPr>
          <w:sz w:val="20"/>
          <w:szCs w:val="18"/>
          <w:vertAlign w:val="subscript"/>
        </w:rPr>
        <w:t xml:space="preserve">CRB2 </w:t>
      </w:r>
      <w:r>
        <w:rPr>
          <w:rFonts w:eastAsia="Yu Mincho"/>
          <w:sz w:val="20"/>
          <w:szCs w:val="18"/>
          <w:lang w:val="en-US"/>
        </w:rPr>
        <w:t>= 0)</w:t>
      </w:r>
      <w:r>
        <w:rPr>
          <w:rFonts w:hint="eastAsia" w:eastAsia="宋体"/>
          <w:sz w:val="20"/>
          <w:szCs w:val="18"/>
          <w:lang w:val="en-US" w:eastAsia="zh-CN"/>
        </w:rPr>
        <w:t xml:space="preserve"> case</w:t>
      </w:r>
      <w:r>
        <w:rPr>
          <w:rFonts w:hint="eastAsia"/>
          <w:sz w:val="20"/>
          <w:szCs w:val="18"/>
          <w:lang w:val="en-US" w:eastAsia="zh-CN"/>
        </w:rPr>
        <w:t xml:space="preserve"> represents only one CC is activated for </w:t>
      </w:r>
      <w:r>
        <w:rPr>
          <w:rFonts w:hint="eastAsia"/>
          <w:sz w:val="20"/>
          <w:szCs w:val="20"/>
          <w:lang w:val="en-US" w:eastAsia="zh-CN"/>
        </w:rPr>
        <w:t xml:space="preserve">intra-band non-contiguous CA. Hence, no further changes to the standard are required.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textAlignment w:val="auto"/>
        <w:rPr>
          <w:rFonts w:hint="eastAsia" w:eastAsiaTheme="minor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sz w:val="20"/>
          <w:szCs w:val="20"/>
          <w:lang w:val="en-US" w:eastAsia="zh-CN"/>
        </w:rPr>
        <w:t xml:space="preserve">Furthermore, for the applicable emission requirements, the current spec has accounted for the case when UE indicates support for </w:t>
      </w:r>
      <w:r>
        <w:rPr>
          <w:rFonts w:hint="eastAsia"/>
          <w:i/>
          <w:iCs/>
          <w:sz w:val="20"/>
          <w:szCs w:val="20"/>
          <w:lang w:val="en-US" w:eastAsia="zh-CN"/>
        </w:rPr>
        <w:t>dualPA-Architecture</w:t>
      </w:r>
      <w:r>
        <w:rPr>
          <w:rFonts w:hint="eastAsia"/>
          <w:sz w:val="20"/>
          <w:szCs w:val="20"/>
          <w:lang w:val="en-US" w:eastAsia="zh-CN"/>
        </w:rPr>
        <w:t xml:space="preserve"> IE, in which, composite spectrum emission mask should be applied. Thus, for PC3 and PC2 intra-band non-contiguous CA with single activated CC, </w:t>
      </w:r>
      <w:r>
        <w:rPr>
          <w:rFonts w:eastAsiaTheme="minorEastAsia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applicable emission requirements</w:t>
      </w:r>
      <w:r>
        <w:rPr>
          <w:rFonts w:hint="eastAsia" w:eastAsiaTheme="minor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are composite based.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textAlignment w:val="auto"/>
        <w:rPr>
          <w:rFonts w:hint="default" w:eastAsiaTheme="minor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Theme="minor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Proposal 2: For PC2 and PC3 intra-band non-contiguous CA with single activated CC, no MPR requirements to be changed. Applicable emission requirements are composite based.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2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Chars="0" w:right="0" w:rightChars="0"/>
              <w:textAlignment w:val="baseline"/>
              <w:rPr>
                <w:sz w:val="20"/>
                <w:szCs w:val="20"/>
              </w:rPr>
            </w:pPr>
            <w:bookmarkStart w:id="11" w:name="_Toc68230954"/>
            <w:bookmarkStart w:id="12" w:name="_Toc69084367"/>
            <w:bookmarkStart w:id="13" w:name="_Toc75467377"/>
            <w:bookmarkStart w:id="14" w:name="_Toc84405237"/>
            <w:bookmarkStart w:id="15" w:name="_Toc61367622"/>
            <w:bookmarkStart w:id="16" w:name="_Toc61373005"/>
            <w:bookmarkStart w:id="17" w:name="_Toc76509399"/>
            <w:bookmarkStart w:id="18" w:name="_Toc84413846"/>
            <w:bookmarkStart w:id="19" w:name="_Toc76718389"/>
            <w:bookmarkStart w:id="20" w:name="_Toc83580728"/>
            <w:r>
              <w:rPr>
                <w:sz w:val="20"/>
                <w:szCs w:val="20"/>
              </w:rPr>
              <w:t>6.5A.2.2.2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Spectrum emission mask for intra-band non-contiguous CA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120" w:beforeLines="50" w:after="18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For intra-band non-contiguous carrier aggregation the spectrum emission mask requirement is defined as a composite spectrum emissions mask. Composite spectrum emission mask applies to frequencies up to ΔfOOB starting from the edges of the sub-blocks. Composite spectrum emission mask is defined as follows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a)</w:t>
            </w:r>
            <w:r>
              <w:rPr>
                <w:sz w:val="20"/>
                <w:szCs w:val="20"/>
                <w:lang w:eastAsia="zh-CN"/>
              </w:rPr>
              <w:tab/>
            </w:r>
            <w:r>
              <w:rPr>
                <w:sz w:val="20"/>
                <w:szCs w:val="20"/>
                <w:lang w:eastAsia="zh-CN"/>
              </w:rPr>
              <w:t xml:space="preserve">Composite spectrum emission mask is a combination of individual sub-block spectrum emissions masks 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b)</w:t>
            </w:r>
            <w:r>
              <w:rPr>
                <w:sz w:val="20"/>
                <w:szCs w:val="20"/>
                <w:lang w:eastAsia="zh-CN"/>
              </w:rPr>
              <w:tab/>
            </w:r>
            <w:r>
              <w:rPr>
                <w:sz w:val="20"/>
                <w:szCs w:val="20"/>
                <w:lang w:eastAsia="zh-CN"/>
              </w:rPr>
              <w:t>In case the sub-block consist of one component carrier the sub-lock general spectrum emission mask is defined in subclause 6.5.2.1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c)</w:t>
            </w:r>
            <w:r>
              <w:rPr>
                <w:sz w:val="20"/>
                <w:szCs w:val="20"/>
                <w:lang w:eastAsia="zh-CN"/>
              </w:rPr>
              <w:tab/>
            </w:r>
            <w:r>
              <w:rPr>
                <w:sz w:val="20"/>
                <w:szCs w:val="20"/>
                <w:lang w:eastAsia="zh-CN"/>
              </w:rPr>
              <w:t>If for some frequency sub-block spectrum emission masks overlap then spectrum emission mask allowing higher power spectral density applies for that frequency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d)</w:t>
            </w:r>
            <w:r>
              <w:rPr>
                <w:sz w:val="20"/>
                <w:szCs w:val="20"/>
                <w:lang w:eastAsia="zh-CN"/>
              </w:rPr>
              <w:tab/>
            </w:r>
            <w:r>
              <w:rPr>
                <w:sz w:val="20"/>
                <w:szCs w:val="20"/>
                <w:lang w:eastAsia="zh-CN"/>
              </w:rPr>
              <w:t>If for some frequency a sub-block spectrum emission mask overlaps with the sub-block bandwidth of another sub-block, then the emission mask does not apply for that frequency.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v5.0.0"/>
                <w:sz w:val="20"/>
                <w:szCs w:val="20"/>
                <w:highlight w:val="yellow"/>
                <w:lang w:eastAsia="zh-CN"/>
              </w:rPr>
              <w:t>F</w:t>
            </w:r>
            <w:r>
              <w:rPr>
                <w:rFonts w:cs="v5.0.0"/>
                <w:sz w:val="20"/>
                <w:szCs w:val="20"/>
                <w:highlight w:val="yellow"/>
                <w:lang w:eastAsia="zh-CN"/>
              </w:rPr>
              <w:t xml:space="preserve">or </w:t>
            </w:r>
            <w:r>
              <w:rPr>
                <w:sz w:val="20"/>
                <w:szCs w:val="20"/>
                <w:highlight w:val="yellow"/>
              </w:rPr>
              <w:t xml:space="preserve">intra-band non-contiguous carrier aggregation, the spectrum emission mask is measured as the sum from both UE transmit antenna connectors when UE indicates support for </w:t>
            </w:r>
            <w:r>
              <w:rPr>
                <w:i/>
                <w:sz w:val="20"/>
                <w:szCs w:val="20"/>
                <w:highlight w:val="yellow"/>
              </w:rPr>
              <w:t>dualPA-Architecture</w:t>
            </w:r>
            <w:r>
              <w:rPr>
                <w:sz w:val="20"/>
                <w:szCs w:val="20"/>
                <w:highlight w:val="yellow"/>
              </w:rPr>
              <w:t xml:space="preserve"> IE.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power boosting and/or MPR reduction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For intra-band contiguous CA with single activated CC, no matter whether</w:t>
      </w:r>
      <w:r>
        <w:rPr>
          <w:rFonts w:hint="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i/>
          <w:i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dualPA-Architecture</w:t>
      </w:r>
      <w:r>
        <w:rPr>
          <w:rFonts w:hint="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 xml:space="preserve"> is indicated, SEM/ACLR/SE requirements of configured contiguous ULCA should be applied. The integral region and applying boundary are based on aggregated CBW.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textAlignment w:val="auto"/>
        <w:rPr>
          <w:rFonts w:hint="default" w:eastAsiaTheme="minor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eastAsiaTheme="minorEastAsia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Proposal 2: For PC2 and PC3 intra-band non-contiguous CA with single activated CC, no MPR requirements to be changed. Applicable emission requirements are composite based.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RP-230828, New WID: UE RF enhancements for NR FR1/FR2 and EN-DC, Phase 4, Huawei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R4-2415273</w:t>
      </w:r>
      <w:r>
        <w:rPr>
          <w:rFonts w:hint="eastAsia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, Using single CC MPR and ULCA related emissions when only one CC has RBs allocated, Skyworks Solutions, Inc.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R4-2415527</w:t>
      </w:r>
      <w:r>
        <w:rPr>
          <w:rFonts w:hint="eastAsia"/>
          <w:sz w:val="20"/>
          <w:szCs w:val="20"/>
          <w:lang w:val="en-US" w:eastAsia="zh-CN"/>
        </w:rPr>
        <w:t>, ULCA Single CC MPR Applicability after SCELL deactivation, Murata Manufacturing Co. Ltd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GB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GB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2"/>
      <w:numFmt w:val="bullet"/>
      <w:lvlText w:val="-"/>
      <w:lvlJc w:val="left"/>
      <w:pPr>
        <w:ind w:left="1080" w:hanging="360"/>
      </w:pPr>
      <w:rPr>
        <w:rFonts w:hint="eastAsia" w:ascii="New York" w:hAnsi="New York" w:eastAsia="New York" w:cs="宋体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9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54FE9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67322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ED2E61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24DCF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2E35E9"/>
    <w:rsid w:val="04305EA0"/>
    <w:rsid w:val="04310833"/>
    <w:rsid w:val="04343921"/>
    <w:rsid w:val="04346443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A6B82"/>
    <w:rsid w:val="05636085"/>
    <w:rsid w:val="057D1D66"/>
    <w:rsid w:val="059D265F"/>
    <w:rsid w:val="059E1515"/>
    <w:rsid w:val="05AA6F8A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A6A13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6F0950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603B1"/>
    <w:rsid w:val="10E746EA"/>
    <w:rsid w:val="10E83FE0"/>
    <w:rsid w:val="10EC3168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A7405"/>
    <w:rsid w:val="116F1EB0"/>
    <w:rsid w:val="11727495"/>
    <w:rsid w:val="117A242E"/>
    <w:rsid w:val="117B1D6A"/>
    <w:rsid w:val="117C2D9D"/>
    <w:rsid w:val="117F159E"/>
    <w:rsid w:val="11821DC9"/>
    <w:rsid w:val="11897A08"/>
    <w:rsid w:val="11921373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9587F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DE2FB7"/>
    <w:rsid w:val="17E47B20"/>
    <w:rsid w:val="17E65848"/>
    <w:rsid w:val="17E66DD8"/>
    <w:rsid w:val="17E84839"/>
    <w:rsid w:val="17EE1403"/>
    <w:rsid w:val="17EF60C6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5268D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56393"/>
    <w:rsid w:val="18A8582C"/>
    <w:rsid w:val="18B50543"/>
    <w:rsid w:val="18CA40C3"/>
    <w:rsid w:val="18CD7A02"/>
    <w:rsid w:val="18D904AC"/>
    <w:rsid w:val="18D9436F"/>
    <w:rsid w:val="18DC1AEF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339DA"/>
    <w:rsid w:val="1ACF5EB8"/>
    <w:rsid w:val="1AD26086"/>
    <w:rsid w:val="1ADD5ACE"/>
    <w:rsid w:val="1AE013F8"/>
    <w:rsid w:val="1AE8570C"/>
    <w:rsid w:val="1AEE14F5"/>
    <w:rsid w:val="1AF7297B"/>
    <w:rsid w:val="1AF97DCC"/>
    <w:rsid w:val="1AFB06A3"/>
    <w:rsid w:val="1B062896"/>
    <w:rsid w:val="1B0F19AE"/>
    <w:rsid w:val="1B141BBC"/>
    <w:rsid w:val="1B2160BB"/>
    <w:rsid w:val="1B2B6699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0192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B9479A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33AAF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F2219"/>
    <w:rsid w:val="1F614D01"/>
    <w:rsid w:val="1F721405"/>
    <w:rsid w:val="1F935819"/>
    <w:rsid w:val="1F9428C0"/>
    <w:rsid w:val="1FA036A3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773A28"/>
    <w:rsid w:val="208574F4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ED69ED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483150"/>
    <w:rsid w:val="23536618"/>
    <w:rsid w:val="236C1BCA"/>
    <w:rsid w:val="237464D5"/>
    <w:rsid w:val="23816932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6D249A"/>
    <w:rsid w:val="24767C7B"/>
    <w:rsid w:val="247C178B"/>
    <w:rsid w:val="24861BCE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91F8B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9F519A"/>
    <w:rsid w:val="27AA3521"/>
    <w:rsid w:val="27AB7429"/>
    <w:rsid w:val="27B10D86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60EC0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7174E"/>
    <w:rsid w:val="2A8A2F9C"/>
    <w:rsid w:val="2AA45D17"/>
    <w:rsid w:val="2AAB3B94"/>
    <w:rsid w:val="2AAC5A06"/>
    <w:rsid w:val="2AB775FB"/>
    <w:rsid w:val="2ABB3D6F"/>
    <w:rsid w:val="2ABC72C9"/>
    <w:rsid w:val="2AC70B30"/>
    <w:rsid w:val="2ACC2AAF"/>
    <w:rsid w:val="2AD74744"/>
    <w:rsid w:val="2AD91AC2"/>
    <w:rsid w:val="2AE57C95"/>
    <w:rsid w:val="2AF34B3D"/>
    <w:rsid w:val="2AF35C8B"/>
    <w:rsid w:val="2B055F4D"/>
    <w:rsid w:val="2B063D44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A07D38"/>
    <w:rsid w:val="2BC40957"/>
    <w:rsid w:val="2BCA5C66"/>
    <w:rsid w:val="2BCB5DAA"/>
    <w:rsid w:val="2BD65380"/>
    <w:rsid w:val="2BD86372"/>
    <w:rsid w:val="2BDA39FD"/>
    <w:rsid w:val="2BE725D0"/>
    <w:rsid w:val="2BF369B9"/>
    <w:rsid w:val="2BFC0A4A"/>
    <w:rsid w:val="2C094904"/>
    <w:rsid w:val="2C0E55A1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97A76"/>
    <w:rsid w:val="2C8B6C0E"/>
    <w:rsid w:val="2C8F4862"/>
    <w:rsid w:val="2C9E5AC8"/>
    <w:rsid w:val="2CA05674"/>
    <w:rsid w:val="2CA2721B"/>
    <w:rsid w:val="2CAC6D87"/>
    <w:rsid w:val="2CB268EE"/>
    <w:rsid w:val="2CB600FC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E5000"/>
    <w:rsid w:val="31870868"/>
    <w:rsid w:val="31875BB4"/>
    <w:rsid w:val="31A9328B"/>
    <w:rsid w:val="31B718F2"/>
    <w:rsid w:val="31C26729"/>
    <w:rsid w:val="31C57B88"/>
    <w:rsid w:val="31D20051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A56B44"/>
    <w:rsid w:val="32B52836"/>
    <w:rsid w:val="32DF351E"/>
    <w:rsid w:val="32E11028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4E0727"/>
    <w:rsid w:val="33540E5D"/>
    <w:rsid w:val="33584A7B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E6AB1"/>
    <w:rsid w:val="350F6258"/>
    <w:rsid w:val="351A603C"/>
    <w:rsid w:val="352821F6"/>
    <w:rsid w:val="3533698A"/>
    <w:rsid w:val="35387F19"/>
    <w:rsid w:val="3539550B"/>
    <w:rsid w:val="354D5E0E"/>
    <w:rsid w:val="355D10E3"/>
    <w:rsid w:val="356150BC"/>
    <w:rsid w:val="356678B4"/>
    <w:rsid w:val="35676DFC"/>
    <w:rsid w:val="3573649F"/>
    <w:rsid w:val="357E4B0A"/>
    <w:rsid w:val="35866D7F"/>
    <w:rsid w:val="358F6BDF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CF5ACF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90373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16A5E"/>
    <w:rsid w:val="3B8E2153"/>
    <w:rsid w:val="3B9B2072"/>
    <w:rsid w:val="3BA03B83"/>
    <w:rsid w:val="3BA91F03"/>
    <w:rsid w:val="3BB16FA6"/>
    <w:rsid w:val="3BB17CE6"/>
    <w:rsid w:val="3BB20883"/>
    <w:rsid w:val="3BB448B0"/>
    <w:rsid w:val="3BB824F8"/>
    <w:rsid w:val="3BC34E75"/>
    <w:rsid w:val="3BCB270F"/>
    <w:rsid w:val="3BD569C2"/>
    <w:rsid w:val="3BD96AA6"/>
    <w:rsid w:val="3BDB053C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4F6D"/>
    <w:rsid w:val="413353F1"/>
    <w:rsid w:val="414C0B0E"/>
    <w:rsid w:val="41513BC9"/>
    <w:rsid w:val="41735B7F"/>
    <w:rsid w:val="419302E2"/>
    <w:rsid w:val="41982C27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53221C"/>
    <w:rsid w:val="42616DD3"/>
    <w:rsid w:val="426973AD"/>
    <w:rsid w:val="426F56CA"/>
    <w:rsid w:val="42702D0D"/>
    <w:rsid w:val="427A67A1"/>
    <w:rsid w:val="427E0B36"/>
    <w:rsid w:val="429F2355"/>
    <w:rsid w:val="42A03D98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6E4EBD"/>
    <w:rsid w:val="437556C4"/>
    <w:rsid w:val="43874CD4"/>
    <w:rsid w:val="439B699F"/>
    <w:rsid w:val="439D3E18"/>
    <w:rsid w:val="439F1200"/>
    <w:rsid w:val="43AE320F"/>
    <w:rsid w:val="43AF2D32"/>
    <w:rsid w:val="43B13512"/>
    <w:rsid w:val="43B76E4F"/>
    <w:rsid w:val="43C9176D"/>
    <w:rsid w:val="43CC2FC9"/>
    <w:rsid w:val="43CF0206"/>
    <w:rsid w:val="43D50BA1"/>
    <w:rsid w:val="43D85D6D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733AD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43BE6"/>
    <w:rsid w:val="4575513B"/>
    <w:rsid w:val="45761EDD"/>
    <w:rsid w:val="457A67B2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AC4003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6AAD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D3243"/>
    <w:rsid w:val="478821A1"/>
    <w:rsid w:val="479128A9"/>
    <w:rsid w:val="47956820"/>
    <w:rsid w:val="47975EDC"/>
    <w:rsid w:val="47983B19"/>
    <w:rsid w:val="479E2C8A"/>
    <w:rsid w:val="47A3609D"/>
    <w:rsid w:val="47AB7ED6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91341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57947"/>
    <w:rsid w:val="49C84AA0"/>
    <w:rsid w:val="49CA7400"/>
    <w:rsid w:val="49D7694D"/>
    <w:rsid w:val="49D87799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41EA9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7BF3"/>
    <w:rsid w:val="4F2E2624"/>
    <w:rsid w:val="4F4E1077"/>
    <w:rsid w:val="4F546156"/>
    <w:rsid w:val="4F5B6F39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A578DE"/>
    <w:rsid w:val="50A649F5"/>
    <w:rsid w:val="50AB5EB6"/>
    <w:rsid w:val="50AE6FE2"/>
    <w:rsid w:val="50B16618"/>
    <w:rsid w:val="50BB568B"/>
    <w:rsid w:val="50BB6306"/>
    <w:rsid w:val="50C12EDC"/>
    <w:rsid w:val="50CD2E4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B71820"/>
    <w:rsid w:val="51BA0CB7"/>
    <w:rsid w:val="51CA4619"/>
    <w:rsid w:val="51D129CA"/>
    <w:rsid w:val="51D75253"/>
    <w:rsid w:val="51D93F8A"/>
    <w:rsid w:val="51E5046A"/>
    <w:rsid w:val="51F35135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F4252"/>
    <w:rsid w:val="53D5647F"/>
    <w:rsid w:val="53D6247A"/>
    <w:rsid w:val="53DB3477"/>
    <w:rsid w:val="53DE00FF"/>
    <w:rsid w:val="53E656AF"/>
    <w:rsid w:val="53E77CBF"/>
    <w:rsid w:val="53FD4F57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C86852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629F9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A2644"/>
    <w:rsid w:val="573B7F99"/>
    <w:rsid w:val="576476C1"/>
    <w:rsid w:val="576E1940"/>
    <w:rsid w:val="57756BF9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EF2F07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5E405A"/>
    <w:rsid w:val="586D57A3"/>
    <w:rsid w:val="587917A0"/>
    <w:rsid w:val="587A4288"/>
    <w:rsid w:val="5880052B"/>
    <w:rsid w:val="588E3967"/>
    <w:rsid w:val="588E49D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605DB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80C41"/>
    <w:rsid w:val="59BB4EA3"/>
    <w:rsid w:val="59E9525B"/>
    <w:rsid w:val="59F70BAF"/>
    <w:rsid w:val="5A0627A6"/>
    <w:rsid w:val="5A297D0D"/>
    <w:rsid w:val="5A3857B4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56E5F"/>
    <w:rsid w:val="5AA75D85"/>
    <w:rsid w:val="5ABC50F4"/>
    <w:rsid w:val="5ACC4940"/>
    <w:rsid w:val="5ACD3CD2"/>
    <w:rsid w:val="5AD7333E"/>
    <w:rsid w:val="5AD86A6D"/>
    <w:rsid w:val="5ADF4325"/>
    <w:rsid w:val="5AE8708E"/>
    <w:rsid w:val="5AEC14F6"/>
    <w:rsid w:val="5AF124A4"/>
    <w:rsid w:val="5AF80D20"/>
    <w:rsid w:val="5B0A4D6B"/>
    <w:rsid w:val="5B141085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755A7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235386"/>
    <w:rsid w:val="5C2A4E9F"/>
    <w:rsid w:val="5C37782E"/>
    <w:rsid w:val="5C3B6CFC"/>
    <w:rsid w:val="5C4735D5"/>
    <w:rsid w:val="5C4C2CF4"/>
    <w:rsid w:val="5C6B1600"/>
    <w:rsid w:val="5C6E26BF"/>
    <w:rsid w:val="5C706511"/>
    <w:rsid w:val="5C7D70D1"/>
    <w:rsid w:val="5C8542A8"/>
    <w:rsid w:val="5CA6294E"/>
    <w:rsid w:val="5CCC1DEC"/>
    <w:rsid w:val="5CDB3358"/>
    <w:rsid w:val="5CED4E0C"/>
    <w:rsid w:val="5CEE1DD1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A540B"/>
    <w:rsid w:val="5FAB7F08"/>
    <w:rsid w:val="5FB7185B"/>
    <w:rsid w:val="5FB94C48"/>
    <w:rsid w:val="5FBE576C"/>
    <w:rsid w:val="5FD351F4"/>
    <w:rsid w:val="5FDC43ED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51634C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569C"/>
    <w:rsid w:val="609D0F5A"/>
    <w:rsid w:val="60A24097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0EC1F27"/>
    <w:rsid w:val="61110088"/>
    <w:rsid w:val="611647A0"/>
    <w:rsid w:val="61421EFD"/>
    <w:rsid w:val="614F6F7E"/>
    <w:rsid w:val="615C5041"/>
    <w:rsid w:val="61640524"/>
    <w:rsid w:val="61691A6E"/>
    <w:rsid w:val="617A6EE7"/>
    <w:rsid w:val="617B616B"/>
    <w:rsid w:val="6182260C"/>
    <w:rsid w:val="6190565E"/>
    <w:rsid w:val="61A61912"/>
    <w:rsid w:val="61AA2608"/>
    <w:rsid w:val="61AD68BC"/>
    <w:rsid w:val="61AE786E"/>
    <w:rsid w:val="61AF1936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4D3168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3FE7843"/>
    <w:rsid w:val="64046427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C331C"/>
    <w:rsid w:val="647E661E"/>
    <w:rsid w:val="64872EB6"/>
    <w:rsid w:val="648939AA"/>
    <w:rsid w:val="648C635C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733E15"/>
    <w:rsid w:val="65822810"/>
    <w:rsid w:val="65870C45"/>
    <w:rsid w:val="658F6B54"/>
    <w:rsid w:val="659705FF"/>
    <w:rsid w:val="65AA6346"/>
    <w:rsid w:val="65B01B69"/>
    <w:rsid w:val="65B56C47"/>
    <w:rsid w:val="65B7794D"/>
    <w:rsid w:val="65B8262E"/>
    <w:rsid w:val="65BA6C3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820A4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AF0EF2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45CEB"/>
    <w:rsid w:val="67165AED"/>
    <w:rsid w:val="671B1631"/>
    <w:rsid w:val="672126C8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3A2738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27F5"/>
    <w:rsid w:val="6C001608"/>
    <w:rsid w:val="6C08064C"/>
    <w:rsid w:val="6C0858B3"/>
    <w:rsid w:val="6C132D21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B4AB7"/>
    <w:rsid w:val="6D836C02"/>
    <w:rsid w:val="6D89784B"/>
    <w:rsid w:val="6D8C7F73"/>
    <w:rsid w:val="6D9057BE"/>
    <w:rsid w:val="6D9E0566"/>
    <w:rsid w:val="6DAF4418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23864"/>
    <w:rsid w:val="6F0247B3"/>
    <w:rsid w:val="6F031F8E"/>
    <w:rsid w:val="6F09008D"/>
    <w:rsid w:val="6F0D382C"/>
    <w:rsid w:val="6F2632E8"/>
    <w:rsid w:val="6F30363A"/>
    <w:rsid w:val="6F3316E5"/>
    <w:rsid w:val="6F3F40F9"/>
    <w:rsid w:val="6F424B2F"/>
    <w:rsid w:val="6F5E0205"/>
    <w:rsid w:val="6F632569"/>
    <w:rsid w:val="6F635E50"/>
    <w:rsid w:val="6F6F14E1"/>
    <w:rsid w:val="6F76254B"/>
    <w:rsid w:val="6F795532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942A3"/>
    <w:rsid w:val="6FDB518F"/>
    <w:rsid w:val="6FE529ED"/>
    <w:rsid w:val="6FF733A7"/>
    <w:rsid w:val="70003DD9"/>
    <w:rsid w:val="70072915"/>
    <w:rsid w:val="70172090"/>
    <w:rsid w:val="70195E88"/>
    <w:rsid w:val="701D43BA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019DC"/>
    <w:rsid w:val="71014479"/>
    <w:rsid w:val="71015D6B"/>
    <w:rsid w:val="71067D7F"/>
    <w:rsid w:val="71071665"/>
    <w:rsid w:val="71115386"/>
    <w:rsid w:val="71126908"/>
    <w:rsid w:val="71130B07"/>
    <w:rsid w:val="71151975"/>
    <w:rsid w:val="711D1189"/>
    <w:rsid w:val="712A2C1F"/>
    <w:rsid w:val="712A5215"/>
    <w:rsid w:val="712F2B3D"/>
    <w:rsid w:val="71336A65"/>
    <w:rsid w:val="713A6008"/>
    <w:rsid w:val="7144725F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920F6D"/>
    <w:rsid w:val="7196106A"/>
    <w:rsid w:val="719E0160"/>
    <w:rsid w:val="719F7A78"/>
    <w:rsid w:val="71A03079"/>
    <w:rsid w:val="71AD22C0"/>
    <w:rsid w:val="71B623F6"/>
    <w:rsid w:val="71B84778"/>
    <w:rsid w:val="71C7540C"/>
    <w:rsid w:val="71E857A5"/>
    <w:rsid w:val="71F64A63"/>
    <w:rsid w:val="71F870B8"/>
    <w:rsid w:val="72021233"/>
    <w:rsid w:val="7209701D"/>
    <w:rsid w:val="720B2A1D"/>
    <w:rsid w:val="72197AB8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9A5DBA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3F3D3B"/>
    <w:rsid w:val="754723D0"/>
    <w:rsid w:val="75482D09"/>
    <w:rsid w:val="75633812"/>
    <w:rsid w:val="756F29D2"/>
    <w:rsid w:val="75752B04"/>
    <w:rsid w:val="75780B96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10338"/>
    <w:rsid w:val="76F410B8"/>
    <w:rsid w:val="76F70779"/>
    <w:rsid w:val="77001F24"/>
    <w:rsid w:val="770A6C33"/>
    <w:rsid w:val="771A04D1"/>
    <w:rsid w:val="771B67DF"/>
    <w:rsid w:val="771E64D7"/>
    <w:rsid w:val="77240552"/>
    <w:rsid w:val="77272CAB"/>
    <w:rsid w:val="772B4341"/>
    <w:rsid w:val="77451578"/>
    <w:rsid w:val="774963F2"/>
    <w:rsid w:val="77576666"/>
    <w:rsid w:val="77604D79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87CC7"/>
    <w:rsid w:val="78FF5EC9"/>
    <w:rsid w:val="791843E7"/>
    <w:rsid w:val="79233426"/>
    <w:rsid w:val="79260F03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976E42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D36BD6"/>
    <w:rsid w:val="7CDE3831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24652E"/>
    <w:rsid w:val="7D2561FD"/>
    <w:rsid w:val="7D2E198F"/>
    <w:rsid w:val="7D342E03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ED71E7"/>
    <w:rsid w:val="7DFF1E31"/>
    <w:rsid w:val="7E0565CD"/>
    <w:rsid w:val="7E090313"/>
    <w:rsid w:val="7E097A5B"/>
    <w:rsid w:val="7E103494"/>
    <w:rsid w:val="7E377EF0"/>
    <w:rsid w:val="7E3E0FEC"/>
    <w:rsid w:val="7E3E1EF2"/>
    <w:rsid w:val="7E566EA2"/>
    <w:rsid w:val="7E5A528F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2A0EC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2024-11-08T07:48:39Z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A9B14E2F6F0B4766B8936CD22E92BF11</vt:lpwstr>
  </property>
</Properties>
</file>